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68AD03A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870EF">
        <w:rPr>
          <w:b/>
          <w:u w:val="single"/>
        </w:rPr>
        <w:t>6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0625E7E1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Pr="00DF7B05">
        <w:rPr>
          <w:b/>
        </w:rPr>
        <w:t xml:space="preserve"> </w:t>
      </w:r>
      <w:r w:rsidR="000870EF">
        <w:rPr>
          <w:b/>
        </w:rPr>
        <w:t xml:space="preserve">Gyöngyösbokréta Kulturális és Nyugdíjas Egyesület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2022-03-30T09:31:00Z</dcterms:created>
  <dcterms:modified xsi:type="dcterms:W3CDTF">2022-03-30T09:32:00Z</dcterms:modified>
</cp:coreProperties>
</file>